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5E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639356BB">
      <w:pPr>
        <w:pStyle w:val="2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第4节  串联电路和并联电路</w:t>
      </w:r>
      <w:bookmarkStart w:id="0" w:name="_GoBack"/>
      <w:bookmarkEnd w:id="0"/>
    </w:p>
    <w:p w14:paraId="2D9B5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课时1  限流与分压的理解和计算</w:t>
      </w:r>
    </w:p>
    <w:p w14:paraId="15AEC7C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串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并联电路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的特点</w:t>
      </w:r>
    </w:p>
    <w:p w14:paraId="2C5AA3E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串联电路：把几个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none"/>
          <w:lang w:val="en-US" w:eastAsia="zh-CN"/>
        </w:rPr>
        <w:t>导体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或用电器</w:t>
      </w:r>
      <w:r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u w:val="single"/>
        </w:rPr>
        <w:t>依次首尾</w:t>
      </w:r>
      <w:r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连接，接入电路的连接方式，如图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甲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所示。</w:t>
      </w:r>
    </w:p>
    <w:p w14:paraId="6420229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20520" cy="707390"/>
            <wp:effectExtent l="0" t="0" r="17780" b="16510"/>
            <wp:docPr id="100005" name="图片 100005" descr="@@@466ddd2b-9e45-4de5-b9f1-3d5510679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466ddd2b-9e45-4de5-b9f1-3d55106791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995680" cy="917575"/>
            <wp:effectExtent l="0" t="0" r="13970" b="15875"/>
            <wp:docPr id="100007" name="图片 100007" descr="@@@d7b6d8a1-fe93-4b41-b125-9cfcb3cb9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7b6d8a1-fe93-4b41-b125-9cfcb3cb98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997AD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并联电路：把几个导体或用电器的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u w:val="single"/>
        </w:rPr>
        <w:t>一端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连在一起，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color w:val="FF0000"/>
          <w:sz w:val="21"/>
          <w:szCs w:val="21"/>
          <w:u w:val="single"/>
          <w:lang w:val="en-US" w:eastAsia="zh-CN"/>
        </w:rPr>
        <w:t>另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u w:val="single"/>
        </w:rPr>
        <w:t>一端</w:t>
      </w:r>
      <w:r>
        <w:rPr>
          <w:rFonts w:hint="default" w:ascii="Times New Roman" w:hAnsi="Times New Roman" w:cs="Times New Roman" w:eastAsiaTheme="minorEastAsia"/>
          <w:b w:val="0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也连在一起，再将两端接入电路的连接方式，如图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乙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所示。</w:t>
      </w:r>
    </w:p>
    <w:p w14:paraId="07BAE9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 w:eastAsiaTheme="minorEastAsia"/>
          <w:sz w:val="21"/>
          <w:szCs w:val="21"/>
        </w:rPr>
        <w:t>串联电路、并联电路的特点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2"/>
        <w:gridCol w:w="3561"/>
        <w:gridCol w:w="3562"/>
      </w:tblGrid>
      <w:tr w14:paraId="48FC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F4FE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58F2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串联电路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EFA92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并联电路</w:t>
            </w:r>
          </w:p>
        </w:tc>
      </w:tr>
      <w:tr w14:paraId="3B1D1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46813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电流关系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45DEC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电流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处处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FF0000"/>
                <w:sz w:val="18"/>
                <w:szCs w:val="18"/>
                <w:u w:val="single"/>
              </w:rPr>
              <w:t>相等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6F267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总电流等于各支路电流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sz w:val="18"/>
                <w:szCs w:val="18"/>
                <w:u w:val="single"/>
                <w:lang w:val="en-US" w:eastAsia="zh-CN"/>
              </w:rPr>
              <w:t>之和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</w:tr>
      <w:tr w14:paraId="130D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EF84A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电压关系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FF44F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总电压等于各部分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  <w:lang w:val="en-US" w:eastAsia="zh-CN"/>
              </w:rPr>
              <w:t>电路两端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电压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sz w:val="18"/>
                <w:szCs w:val="18"/>
                <w:u w:val="single"/>
                <w:lang w:val="en-US" w:eastAsia="zh-CN"/>
              </w:rPr>
              <w:t>之和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F5B7D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各支路两端电压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FF0000"/>
                <w:sz w:val="18"/>
                <w:szCs w:val="18"/>
                <w:u w:val="single"/>
                <w:lang w:val="en-US" w:eastAsia="zh-CN"/>
              </w:rPr>
              <w:t>相等</w:t>
            </w:r>
            <w:r>
              <w:rPr>
                <w:rFonts w:hint="default" w:ascii="Times New Roman" w:hAnsi="Times New Roman" w:cs="Times New Roman" w:eastAsiaTheme="minorEastAsia"/>
                <w:b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</w:tr>
      <w:tr w14:paraId="6878D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6BD29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电阻关系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18292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总电阻等于各部分电阻之和，即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4D142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ind w:left="210" w:hanging="180" w:hangingChars="10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总电阻的倒数等于各支路电阻</w:t>
            </w:r>
            <w:r>
              <w:rPr>
                <w:rFonts w:hint="eastAsia" w:ascii="Times New Roman" w:hAnsi="Times New Roman" w:cs="Times New Roman"/>
                <w:b w:val="0"/>
                <w:sz w:val="18"/>
                <w:szCs w:val="18"/>
                <w:u w:val="none"/>
                <w:lang w:val="en-US" w:eastAsia="zh-CN"/>
              </w:rPr>
              <w:t>的</w:t>
            </w:r>
            <w:r>
              <w:rPr>
                <w:rFonts w:hint="eastAsia" w:ascii="Times New Roman" w:hAnsi="Times New Roman" w:cs="Times New Roman"/>
                <w:b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color w:val="FF0000"/>
                <w:sz w:val="18"/>
                <w:szCs w:val="18"/>
                <w:u w:val="single"/>
                <w:lang w:val="en-US" w:eastAsia="zh-CN"/>
              </w:rPr>
              <w:t>倒数</w:t>
            </w:r>
            <w:r>
              <w:rPr>
                <w:rFonts w:hint="eastAsia" w:ascii="Times New Roman" w:hAnsi="Times New Roman" w:cs="Times New Roman"/>
                <w:b w:val="0"/>
                <w:color w:val="auto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18"/>
                <w:szCs w:val="18"/>
                <w:u w:val="none"/>
              </w:rPr>
              <w:t>之和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object>
                <v:shape id="_x0000_i1025" o:spt="75" alt="eqIddc4cdfc40e3ceea825100c49f43d08a6" type="#_x0000_t75" style="height:26.75pt;width:12.3pt;" o:ole="t" filled="f" o:preferrelative="t" stroked="f" coordsize="21600,21600">
                  <v:path/>
                  <v:fill on="f" focussize="0,0"/>
                  <v:stroke on="f" joinstyle="miter"/>
                  <v:imagedata r:id="rId9" o:title="eqIddc4cdfc40e3ceea825100c49f43d08a6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object>
                <v:shape id="_x0000_i1026" o:spt="75" alt="eqIdd981e879cd114bcbbc513e96aeaf2cd4" type="#_x0000_t75" style="height:29.25pt;width:14.95pt;" o:ole="t" filled="f" o:preferrelative="t" stroked="f" coordsize="21600,21600">
                  <v:path/>
                  <v:fill on="f" focussize="0,0"/>
                  <v:stroke on="f" joinstyle="miter"/>
                  <v:imagedata r:id="rId11" o:title="eqIdd981e879cd114bcbbc513e96aeaf2cd4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object>
                <v:shape id="_x0000_i1027" o:spt="75" alt="eqId4ec3369993982624279a4f34b5cef759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3" o:title="eqId4ec3369993982624279a4f34b5cef759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2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…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sz w:val="18"/>
                <w:szCs w:val="18"/>
              </w:rPr>
              <w:object>
                <v:shape id="_x0000_i1028" o:spt="75" alt="eqId8480353ed8aa96f49db808544f6707dd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5" o:title="eqId8480353ed8aa96f49db808544f6707dd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4">
                  <o:LockedField>false</o:LockedField>
                </o:OLEObject>
              </w:object>
            </w:r>
          </w:p>
        </w:tc>
      </w:tr>
    </w:tbl>
    <w:p w14:paraId="1FC29DB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>混联电路的计算、电路的简化</w:t>
      </w:r>
    </w:p>
    <w:p w14:paraId="3DBCCB7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电路简化的流程</w:t>
      </w:r>
    </w:p>
    <w:p w14:paraId="40334B6F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摘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将理想电压表和电容器摘掉，电流表用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u w:val="single"/>
          <w:lang w:val="en-US" w:eastAsia="zh-CN"/>
        </w:rPr>
        <w:t>导线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替代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73EE9FA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并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将电路中导线直接相连的节点并在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起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30DA322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排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沿电流流向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按电势的高低顺序将各节点编号并排列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4F066322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leftChars="0" w:hanging="210" w:hangingChars="100"/>
        <w:jc w:val="left"/>
        <w:textAlignment w:val="center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分析电路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，在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排好的节点间添加元件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原电路中两个节点间的所有元件均为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FF0000"/>
          <w:sz w:val="21"/>
          <w:szCs w:val="21"/>
          <w:u w:val="single"/>
          <w:lang w:val="en-US" w:eastAsia="zh-CN"/>
        </w:rPr>
        <w:t>并联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（填“串联”或“并联”）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关系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9AF7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（5）画：画等效电路图。</w:t>
      </w:r>
    </w:p>
    <w:p w14:paraId="64EF3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250D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F39DDA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1.</w:t>
      </w:r>
      <w:r>
        <w:rPr>
          <w:sz w:val="21"/>
        </w:rPr>
        <w:t>串联电路的总电流等于流过各电阻的电流之和</w:t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688DCD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2.</w:t>
      </w:r>
      <w:r>
        <w:rPr>
          <w:sz w:val="21"/>
        </w:rPr>
        <w:t>串联电路的总电压等于各电阻两端的电压之和</w:t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A25BBE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3.</w:t>
      </w:r>
      <w:r>
        <w:rPr>
          <w:sz w:val="21"/>
        </w:rPr>
        <w:t>并联电路干路上的电流一定比通过某一支路的电流大</w:t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DF8691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4.</w:t>
      </w:r>
      <w:r>
        <w:rPr>
          <w:sz w:val="21"/>
        </w:rPr>
        <w:t>电路中电阻的个数越多，电路的总电阻越大</w:t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eastAsia" w:asciiTheme="minorHAnsi" w:eastAsiaTheme="minorEastAsia"/>
          <w:sz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AA6A28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 w:asciiTheme="minorHAnsi" w:eastAsiaTheme="minorEastAsia"/>
          <w:sz w:val="21"/>
          <w:lang w:val="en-US" w:eastAsia="zh-CN"/>
        </w:rPr>
        <w:t>5.</w:t>
      </w:r>
      <w:r>
        <w:rPr>
          <w:sz w:val="21"/>
        </w:rPr>
        <w:t>多个电阻串联时，其中任一电阻增大，总电阻也随之增大；多个电阻并联时，其中任一电阻增大，总电阻将减小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C6C53C0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2025-12-24T04:05:41Z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